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61EE3">
      <w:pPr>
        <w:tabs>
          <w:tab w:val="left" w:pos="900"/>
        </w:tabs>
        <w:ind w:right="-483" w:rightChars="-230"/>
        <w:outlineLvl w:val="0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eastAsia="zh-CN"/>
        </w:rPr>
        <w:t>租金执行标准</w:t>
      </w:r>
    </w:p>
    <w:p w14:paraId="0387A954">
      <w:pPr>
        <w:numPr>
          <w:ilvl w:val="0"/>
          <w:numId w:val="1"/>
        </w:numPr>
        <w:ind w:right="42" w:rightChars="2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各便民用房5年租金之和作为挂牌价，详见下表：</w:t>
      </w:r>
    </w:p>
    <w:p w14:paraId="6001AEB3"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219"/>
        <w:gridCol w:w="2352"/>
        <w:gridCol w:w="2559"/>
      </w:tblGrid>
      <w:tr w14:paraId="765C9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09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标的</w:t>
            </w:r>
          </w:p>
        </w:tc>
        <w:tc>
          <w:tcPr>
            <w:tcW w:w="1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8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站点名称</w:t>
            </w: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8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2E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5年租金合计</w:t>
            </w:r>
          </w:p>
        </w:tc>
      </w:tr>
      <w:tr w14:paraId="1597D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6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76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白云中路站</w:t>
            </w: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3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19.2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0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11,871.00 </w:t>
            </w:r>
          </w:p>
        </w:tc>
      </w:tr>
      <w:tr w14:paraId="462F4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D6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67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枫林路站</w:t>
            </w: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AD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36.22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A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94,059.00 </w:t>
            </w:r>
          </w:p>
        </w:tc>
      </w:tr>
      <w:tr w14:paraId="3604E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98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4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茶园站</w:t>
            </w: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8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29.23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F1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81,327.00 </w:t>
            </w:r>
          </w:p>
        </w:tc>
      </w:tr>
      <w:tr w14:paraId="295B6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1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0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E49C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百花大道站</w:t>
            </w: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20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29.57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AE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16,458.00 </w:t>
            </w:r>
          </w:p>
        </w:tc>
      </w:tr>
      <w:tr w14:paraId="2CCA4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45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0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6144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6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23.77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45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11,758.00 </w:t>
            </w:r>
          </w:p>
        </w:tc>
      </w:tr>
      <w:tr w14:paraId="6B77E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5B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30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F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25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22.63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53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12,592.00 </w:t>
            </w:r>
          </w:p>
        </w:tc>
      </w:tr>
      <w:tr w14:paraId="3EBAB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20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1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马王庙站</w:t>
            </w: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7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15.64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0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25,144.00 </w:t>
            </w:r>
          </w:p>
        </w:tc>
      </w:tr>
      <w:tr w14:paraId="70C56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A9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88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改茶路站</w:t>
            </w:r>
          </w:p>
        </w:tc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8D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10.96</w:t>
            </w:r>
          </w:p>
        </w:tc>
        <w:tc>
          <w:tcPr>
            <w:tcW w:w="1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5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37,948.00 </w:t>
            </w:r>
          </w:p>
        </w:tc>
      </w:tr>
    </w:tbl>
    <w:p w14:paraId="1ADB330F">
      <w:pPr>
        <w:ind w:right="42" w:rightChars="2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3B771BD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6F8D03">
      <w:pPr>
        <w:rPr>
          <w:rFonts w:hint="eastAsia"/>
          <w:lang w:val="en-US" w:eastAsia="zh-CN"/>
        </w:rPr>
      </w:pPr>
      <w:bookmarkStart w:id="0" w:name="_GoBack"/>
      <w:bookmarkEnd w:id="0"/>
    </w:p>
    <w:p w14:paraId="5A3FCCF7">
      <w:pPr>
        <w:ind w:right="42" w:rightChars="2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（二）续租租金</w:t>
      </w:r>
    </w:p>
    <w:p w14:paraId="057B1EC4">
      <w:pPr>
        <w:ind w:right="42" w:rightChars="2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租赁期延期不超过三个月（含）的短期续租行为（延期不超过两次），续租期租金按照原谈判成交价及原评估报告租金递增率计算收取，双方签订续租审批表即生效。</w:t>
      </w:r>
    </w:p>
    <w:p w14:paraId="7AA244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2384ED"/>
    <w:multiLevelType w:val="singleLevel"/>
    <w:tmpl w:val="5F2384E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91B03"/>
    <w:rsid w:val="1A343B60"/>
    <w:rsid w:val="6C0F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773</Characters>
  <Lines>0</Lines>
  <Paragraphs>0</Paragraphs>
  <TotalTime>10</TotalTime>
  <ScaleCrop>false</ScaleCrop>
  <LinksUpToDate>false</LinksUpToDate>
  <CharactersWithSpaces>873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2025-04-10T02:02:13Z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4C0742FBEDBD430BA8E4ED4D81A8F169_12</vt:lpwstr>
  </property>
</Properties>
</file>